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87" w:rsidRPr="00A704AB" w:rsidRDefault="001D1F87" w:rsidP="00D81C35">
      <w:pPr>
        <w:pStyle w:val="a3"/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:rsidR="001D1F87" w:rsidRPr="00634438" w:rsidRDefault="00174EFC" w:rsidP="00A704AB">
      <w:pPr>
        <w:pStyle w:val="a8"/>
        <w:spacing w:line="500" w:lineRule="exact"/>
        <w:rPr>
          <w:rFonts w:ascii="微软雅黑" w:eastAsia="微软雅黑" w:hAnsi="微软雅黑"/>
          <w:b/>
          <w:color w:val="7030A0"/>
          <w:sz w:val="32"/>
          <w:szCs w:val="32"/>
        </w:rPr>
      </w:pPr>
      <w:r w:rsidRPr="00634438">
        <w:rPr>
          <w:rFonts w:ascii="微软雅黑" w:eastAsia="微软雅黑" w:hAnsi="微软雅黑" w:hint="eastAsia"/>
          <w:b/>
          <w:color w:val="7030A0"/>
          <w:sz w:val="32"/>
          <w:szCs w:val="32"/>
        </w:rPr>
        <w:t>最高人民法院关于适用《中华人民共和国人民陪审员法》若干问题的解释</w:t>
      </w:r>
    </w:p>
    <w:p w:rsidR="001D1F87" w:rsidRPr="00A704AB" w:rsidRDefault="001D1F87" w:rsidP="00D81C35">
      <w:pPr>
        <w:pStyle w:val="a3"/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:rsidR="001D1F87" w:rsidRPr="00634438" w:rsidRDefault="00174EFC" w:rsidP="00D81C35">
      <w:pPr>
        <w:pStyle w:val="aa"/>
        <w:spacing w:line="240" w:lineRule="exact"/>
        <w:rPr>
          <w:rFonts w:ascii="微软雅黑" w:eastAsia="微软雅黑" w:hAnsi="微软雅黑"/>
          <w:color w:val="7030A0"/>
          <w:sz w:val="22"/>
          <w:szCs w:val="22"/>
        </w:rPr>
      </w:pPr>
      <w:r w:rsidRPr="00634438">
        <w:rPr>
          <w:rFonts w:ascii="微软雅黑" w:eastAsia="微软雅黑" w:hAnsi="微软雅黑" w:hint="eastAsia"/>
          <w:color w:val="7030A0"/>
          <w:sz w:val="22"/>
          <w:szCs w:val="22"/>
        </w:rPr>
        <w:t>法释〔2019〕5号</w:t>
      </w:r>
    </w:p>
    <w:p w:rsidR="001D1F87" w:rsidRPr="00A704AB" w:rsidRDefault="001D1F87" w:rsidP="00D81C35">
      <w:pPr>
        <w:pStyle w:val="a3"/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:rsidR="001D1F87" w:rsidRPr="00A704AB" w:rsidRDefault="00174EFC" w:rsidP="00A704AB">
      <w:pPr>
        <w:pStyle w:val="a9"/>
        <w:spacing w:line="240" w:lineRule="exact"/>
        <w:ind w:leftChars="0" w:left="0" w:rightChars="0" w:right="0"/>
        <w:jc w:val="center"/>
        <w:rPr>
          <w:rFonts w:ascii="微软雅黑" w:eastAsia="微软雅黑" w:hAnsi="微软雅黑"/>
          <w:color w:val="00B050"/>
          <w:sz w:val="22"/>
          <w:szCs w:val="22"/>
        </w:rPr>
      </w:pPr>
      <w:r w:rsidRPr="00A704AB">
        <w:rPr>
          <w:rFonts w:ascii="微软雅黑" w:eastAsia="微软雅黑" w:hAnsi="微软雅黑" w:hint="eastAsia"/>
          <w:color w:val="00B050"/>
          <w:sz w:val="22"/>
          <w:szCs w:val="22"/>
        </w:rPr>
        <w:t>（2019年2月18日最高人民法院审判委员会第1761次会议通过，自2019年5月1日起施行）</w:t>
      </w:r>
    </w:p>
    <w:p w:rsidR="001D1F87" w:rsidRPr="00A704AB" w:rsidRDefault="001D1F87" w:rsidP="00634438">
      <w:pPr>
        <w:pStyle w:val="a3"/>
        <w:spacing w:line="280" w:lineRule="exact"/>
        <w:rPr>
          <w:rFonts w:ascii="微软雅黑" w:eastAsia="微软雅黑" w:hAnsi="微软雅黑" w:cs="宋体"/>
          <w:sz w:val="22"/>
          <w:szCs w:val="22"/>
        </w:rPr>
      </w:pP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bookmarkStart w:id="0" w:name="_GoBack"/>
      <w:r w:rsidRPr="00A704AB">
        <w:rPr>
          <w:rFonts w:ascii="微软雅黑" w:eastAsia="微软雅黑" w:hAnsi="微软雅黑" w:cs="宋体" w:hint="eastAsia"/>
          <w:sz w:val="22"/>
          <w:szCs w:val="22"/>
        </w:rPr>
        <w:t>为依法保障和规范人民陪审员参加审判活动，根据《</w:t>
      </w:r>
      <w:r w:rsidRPr="00634438">
        <w:rPr>
          <w:rFonts w:ascii="微软雅黑" w:eastAsia="微软雅黑" w:hAnsi="微软雅黑" w:cs="宋体" w:hint="eastAsia"/>
          <w:b/>
          <w:sz w:val="22"/>
          <w:szCs w:val="22"/>
        </w:rPr>
        <w:t>中华人民共和国人民陪审员法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》等法律的规定，结合审判实际，制定本解释。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第一条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根据人民陪审员法</w:t>
      </w:r>
      <w:r w:rsidRPr="00CC6EDF">
        <w:rPr>
          <w:rFonts w:ascii="微软雅黑" w:eastAsia="微软雅黑" w:hAnsi="微软雅黑" w:cs="宋体" w:hint="eastAsia"/>
          <w:color w:val="C00000"/>
          <w:sz w:val="22"/>
          <w:szCs w:val="22"/>
        </w:rPr>
        <w:t>第十五条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、</w:t>
      </w:r>
      <w:r w:rsidRPr="00CC6EDF">
        <w:rPr>
          <w:rFonts w:ascii="微软雅黑" w:eastAsia="微软雅黑" w:hAnsi="微软雅黑" w:cs="宋体" w:hint="eastAsia"/>
          <w:color w:val="C00000"/>
          <w:sz w:val="22"/>
          <w:szCs w:val="22"/>
        </w:rPr>
        <w:t>第十六条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的规定，人民法院决定由人民陪审员和法官组成合议庭审判的，合议庭成员确定后，应当及时告知当事人。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第二条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对于人民陪审员法</w:t>
      </w:r>
      <w:r w:rsidRPr="00CC6EDF">
        <w:rPr>
          <w:rFonts w:ascii="微软雅黑" w:eastAsia="微软雅黑" w:hAnsi="微软雅黑" w:cs="宋体" w:hint="eastAsia"/>
          <w:color w:val="C00000"/>
          <w:sz w:val="22"/>
          <w:szCs w:val="22"/>
        </w:rPr>
        <w:t>第十五条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、</w:t>
      </w:r>
      <w:r w:rsidRPr="00CC6EDF">
        <w:rPr>
          <w:rFonts w:ascii="微软雅黑" w:eastAsia="微软雅黑" w:hAnsi="微软雅黑" w:cs="宋体" w:hint="eastAsia"/>
          <w:color w:val="C00000"/>
          <w:sz w:val="22"/>
          <w:szCs w:val="22"/>
        </w:rPr>
        <w:t>第十六条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规定之外的第一审普通程序案件，人民法院应当告知刑事案件被告人、民事案件原告和被告、行政案件原告，在收到通知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五日内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有权申请由人民陪审员参加合议庭审判案件。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sz w:val="22"/>
          <w:szCs w:val="22"/>
        </w:rPr>
        <w:t>人民法院接到当事人在规定期限内提交的申请后，经审查决定由人民陪审员和法官组成合议庭审判的，合议庭成员确定后，应当及时告知当事人。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第三条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 人民法院应当在开庭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七日前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从人民陪审员名单中随机抽取确定人民陪审员。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sz w:val="22"/>
          <w:szCs w:val="22"/>
        </w:rPr>
        <w:t>人民法院可以根据案件审判需要，从人民陪审员名单中随机抽取一定数量的候补人民陪审员，并确定递补顺序，一并告知当事人。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sz w:val="22"/>
          <w:szCs w:val="22"/>
        </w:rPr>
        <w:t>因案件类型需要具有相应专业知识的人民陪审员参加合议庭审判的，可以根据具体案情，在符合专业需求的人民陪审员名单中随机抽取确定。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第四条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人民陪审员确定后，人民法院应当将参审案件案由、当事人姓名或名称、开庭地点、开庭时间等事项告知参审人民陪审员及候补人民陪审员。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sz w:val="22"/>
          <w:szCs w:val="22"/>
        </w:rPr>
        <w:t>必要时，人民法院可以将参加审判活动的时间、地点等事项书面通知人民陪审员所在单位。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第五条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人民陪审员不参加下列案件的审理：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sz w:val="22"/>
          <w:szCs w:val="22"/>
        </w:rPr>
        <w:t>（一）依照民事诉讼法适用特别程序、督促程序、公示催告程序审理的案件；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sz w:val="22"/>
          <w:szCs w:val="22"/>
        </w:rPr>
        <w:t>（二）申请承认外国法院离婚判决的案件；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sz w:val="22"/>
          <w:szCs w:val="22"/>
        </w:rPr>
        <w:t>（三）裁定不予受理或者不需要开庭审理的案件。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第六条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 人民陪审员不得参与审理由其以人民调解员身份先行调解的案件。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第七条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当事人依法有权申请人民陪审员回避。人民陪审员的回避，适用审判人员回避的法律规定。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sz w:val="22"/>
          <w:szCs w:val="22"/>
        </w:rPr>
        <w:t>人民陪审员回避事由经审查成立的，人民法院应当及时确定递补人选。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第八条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 人民法院应当在开庭前，将相关权利和义务告知人民陪审员，并为其阅卷提供便利条件。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第九条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七人合议庭开庭前，应当制作事实认定问题清单，根据案件具体情况，区分事实认定问题与法律适用问题，对争议事实问题逐项列举，供人民陪审员在庭审时参考。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  <w:u w:val="dotted"/>
        </w:rPr>
        <w:t>事实认定问题</w:t>
      </w:r>
      <w:r w:rsidRPr="00CC6EDF">
        <w:rPr>
          <w:rFonts w:ascii="微软雅黑" w:eastAsia="微软雅黑" w:hAnsi="微软雅黑" w:cs="宋体" w:hint="eastAsia"/>
          <w:sz w:val="22"/>
          <w:szCs w:val="22"/>
          <w:u w:val="dotted"/>
        </w:rPr>
        <w:t>和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  <w:u w:val="dotted"/>
        </w:rPr>
        <w:t>法律适用问题</w:t>
      </w:r>
      <w:r w:rsidRPr="00CC6EDF">
        <w:rPr>
          <w:rFonts w:ascii="微软雅黑" w:eastAsia="微软雅黑" w:hAnsi="微软雅黑" w:cs="宋体" w:hint="eastAsia"/>
          <w:sz w:val="22"/>
          <w:szCs w:val="22"/>
          <w:u w:val="dotted"/>
        </w:rPr>
        <w:t>难以区分的，视为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  <w:u w:val="dotted"/>
        </w:rPr>
        <w:t>事实认定问题</w:t>
      </w:r>
      <w:r w:rsidRPr="00CC6EDF">
        <w:rPr>
          <w:rFonts w:ascii="微软雅黑" w:eastAsia="微软雅黑" w:hAnsi="微软雅黑" w:cs="宋体" w:hint="eastAsia"/>
          <w:sz w:val="22"/>
          <w:szCs w:val="22"/>
          <w:u w:val="dotted"/>
        </w:rPr>
        <w:t>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第十条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案件审判过程中，人民陪审员依法有权参加案件调查和调解工作。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第十一条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庭审过程中，人民陪审员依法有权向诉讼参加人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发问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，审判长应当提示人民陪审员围绕案件争议焦点进行发问。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第十二条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合议庭评议案件时，先由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承办法官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介绍案件涉及的相关法律、证据规则，然后由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人民陪审员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和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法官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依次发表意见，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审判长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最后发表意见并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总结合议庭意见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第十三条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七人合议庭评议时，审判长应当归纳和介绍需要通过评议讨论决定的案件事实认定问题，并列出案件事实问题清单。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sz w:val="22"/>
          <w:szCs w:val="22"/>
        </w:rPr>
        <w:t>人民陪审员全程参加合议庭评议，</w:t>
      </w:r>
      <w:r w:rsidRPr="00CC6EDF">
        <w:rPr>
          <w:rFonts w:ascii="微软雅黑" w:eastAsia="微软雅黑" w:hAnsi="微软雅黑" w:cs="宋体" w:hint="eastAsia"/>
          <w:sz w:val="22"/>
          <w:szCs w:val="22"/>
          <w:u w:val="dotted"/>
        </w:rPr>
        <w:t>对于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  <w:u w:val="dotted"/>
        </w:rPr>
        <w:t>事实认定问题</w:t>
      </w:r>
      <w:r w:rsidRPr="00CC6EDF">
        <w:rPr>
          <w:rFonts w:ascii="微软雅黑" w:eastAsia="微软雅黑" w:hAnsi="微软雅黑" w:cs="宋体" w:hint="eastAsia"/>
          <w:sz w:val="22"/>
          <w:szCs w:val="22"/>
          <w:u w:val="dotted"/>
        </w:rPr>
        <w:t>，由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  <w:u w:val="dotted"/>
        </w:rPr>
        <w:t>人民陪审员</w:t>
      </w:r>
      <w:r w:rsidRPr="00CC6EDF">
        <w:rPr>
          <w:rFonts w:ascii="微软雅黑" w:eastAsia="微软雅黑" w:hAnsi="微软雅黑" w:cs="宋体" w:hint="eastAsia"/>
          <w:sz w:val="22"/>
          <w:szCs w:val="22"/>
          <w:u w:val="dotted"/>
        </w:rPr>
        <w:t>和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  <w:u w:val="dotted"/>
        </w:rPr>
        <w:t>法官</w:t>
      </w:r>
      <w:r w:rsidRPr="00CC6EDF">
        <w:rPr>
          <w:rFonts w:ascii="微软雅黑" w:eastAsia="微软雅黑" w:hAnsi="微软雅黑" w:cs="宋体" w:hint="eastAsia"/>
          <w:sz w:val="22"/>
          <w:szCs w:val="22"/>
          <w:u w:val="dotted"/>
        </w:rPr>
        <w:t>在共同评议的基础上进行表决。对于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  <w:u w:val="dotted"/>
        </w:rPr>
        <w:t>法律适用问题</w:t>
      </w:r>
      <w:r w:rsidRPr="00CC6EDF">
        <w:rPr>
          <w:rFonts w:ascii="微软雅黑" w:eastAsia="微软雅黑" w:hAnsi="微软雅黑" w:cs="宋体" w:hint="eastAsia"/>
          <w:sz w:val="22"/>
          <w:szCs w:val="22"/>
          <w:u w:val="dotted"/>
        </w:rPr>
        <w:t>，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  <w:u w:val="dotted"/>
        </w:rPr>
        <w:t>人民陪审员不参加表决</w:t>
      </w:r>
      <w:r w:rsidRPr="00CC6EDF">
        <w:rPr>
          <w:rFonts w:ascii="微软雅黑" w:eastAsia="微软雅黑" w:hAnsi="微软雅黑" w:cs="宋体" w:hint="eastAsia"/>
          <w:sz w:val="22"/>
          <w:szCs w:val="22"/>
          <w:u w:val="dotted"/>
        </w:rPr>
        <w:t>，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但可以发表意见，并记录在卷。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第十四条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人民陪审员应当认真阅读评议笔录，确认无误后签名。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第十五条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人民陪审员列席审判委员会讨论其参加审理的案件时，可以发表意见。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第十六条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案件审结后，人民法院应将裁判文书副本及时送交参加该案审判的人民陪审员。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第十七条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中级、基层人民法院应当保障人民陪审员均衡参审，结合本院实际情况，一般在不超过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30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件的范围内合理确定每名人民陪审员年度参加审判案件的数量上限，报高级人民法院备案，并向社会公告。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第十八条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 人民法院应当依法规范和保障人民陪审员参加审判活动，不得安排人民陪审员从事与履行法定审判职责无关的工作。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b/>
          <w:sz w:val="22"/>
          <w:szCs w:val="22"/>
        </w:rPr>
        <w:t>第十九条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 xml:space="preserve"> 本解释自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2019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年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5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月</w:t>
      </w:r>
      <w:r w:rsidRPr="00CC6EDF">
        <w:rPr>
          <w:rFonts w:ascii="微软雅黑" w:eastAsia="微软雅黑" w:hAnsi="微软雅黑" w:cs="宋体" w:hint="eastAsia"/>
          <w:b/>
          <w:sz w:val="22"/>
          <w:szCs w:val="22"/>
        </w:rPr>
        <w:t>1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日起施行。</w:t>
      </w:r>
    </w:p>
    <w:p w:rsidR="001D1F87" w:rsidRPr="00A704AB" w:rsidRDefault="00174EFC" w:rsidP="00634438">
      <w:pPr>
        <w:pStyle w:val="a3"/>
        <w:spacing w:line="280" w:lineRule="exact"/>
        <w:ind w:firstLineChars="200" w:firstLine="440"/>
        <w:rPr>
          <w:rFonts w:ascii="微软雅黑" w:eastAsia="微软雅黑" w:hAnsi="微软雅黑" w:cs="宋体"/>
          <w:sz w:val="22"/>
          <w:szCs w:val="22"/>
        </w:rPr>
      </w:pPr>
      <w:r w:rsidRPr="00A704AB">
        <w:rPr>
          <w:rFonts w:ascii="微软雅黑" w:eastAsia="微软雅黑" w:hAnsi="微软雅黑" w:cs="宋体" w:hint="eastAsia"/>
          <w:sz w:val="22"/>
          <w:szCs w:val="22"/>
        </w:rPr>
        <w:t>本解释公布施行后，最高人民法院于2010年1月12日发布的《</w:t>
      </w:r>
      <w:r w:rsidRPr="00634438">
        <w:rPr>
          <w:rFonts w:ascii="微软雅黑" w:eastAsia="微软雅黑" w:hAnsi="微软雅黑" w:cs="宋体" w:hint="eastAsia"/>
          <w:b/>
          <w:sz w:val="22"/>
          <w:szCs w:val="22"/>
        </w:rPr>
        <w:t>最高人民法院关于人民陪审员参加审判活动若干问题的规定</w:t>
      </w:r>
      <w:r w:rsidRPr="00A704AB">
        <w:rPr>
          <w:rFonts w:ascii="微软雅黑" w:eastAsia="微软雅黑" w:hAnsi="微软雅黑" w:cs="宋体" w:hint="eastAsia"/>
          <w:sz w:val="22"/>
          <w:szCs w:val="22"/>
        </w:rPr>
        <w:t>》同时废止。最高人民法院以前发布的司法解释与本解释不一致的，不再适用。</w:t>
      </w:r>
      <w:bookmarkEnd w:id="0"/>
    </w:p>
    <w:sectPr w:rsidR="001D1F87" w:rsidRPr="00A704AB" w:rsidSect="00FA6D04">
      <w:footerReference w:type="even" r:id="rId8"/>
      <w:footerReference w:type="default" r:id="rId9"/>
      <w:pgSz w:w="11906" w:h="16838"/>
      <w:pgMar w:top="720" w:right="720" w:bottom="720" w:left="720" w:header="567" w:footer="56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71" w:rsidRDefault="00832C71" w:rsidP="001D1F87">
      <w:r>
        <w:separator/>
      </w:r>
    </w:p>
  </w:endnote>
  <w:endnote w:type="continuationSeparator" w:id="0">
    <w:p w:rsidR="00832C71" w:rsidRDefault="00832C71" w:rsidP="001D1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87" w:rsidRDefault="00013BF2">
    <w:pPr>
      <w:pStyle w:val="a5"/>
      <w:framePr w:wrap="around" w:vAnchor="text" w:hAnchor="page" w:x="1837" w:y="-191"/>
      <w:rPr>
        <w:rStyle w:val="a7"/>
      </w:rPr>
    </w:pPr>
    <w:r>
      <w:rPr>
        <w:rStyle w:val="a7"/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 w:rsidR="00174EFC">
      <w:rPr>
        <w:rStyle w:val="a7"/>
        <w:rFonts w:asciiTheme="minorEastAsia" w:eastAsiaTheme="minorEastAsia" w:hAnsiTheme="minorEastAsia" w:cstheme="minorEastAsia" w:hint="eastAsia"/>
        <w:sz w:val="28"/>
        <w:szCs w:val="28"/>
      </w:rPr>
      <w:instrText xml:space="preserve">PAGE  </w:instrText>
    </w:r>
    <w:r>
      <w:rPr>
        <w:rStyle w:val="a7"/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634438">
      <w:rPr>
        <w:rStyle w:val="a7"/>
        <w:rFonts w:asciiTheme="minorEastAsia" w:eastAsiaTheme="minorEastAsia" w:hAnsiTheme="minorEastAsia" w:cstheme="minorEastAsia"/>
        <w:noProof/>
        <w:sz w:val="28"/>
        <w:szCs w:val="28"/>
      </w:rPr>
      <w:t>- 2 -</w:t>
    </w:r>
    <w:r>
      <w:rPr>
        <w:rStyle w:val="a7"/>
        <w:rFonts w:asciiTheme="minorEastAsia" w:eastAsiaTheme="minorEastAsia" w:hAnsiTheme="minorEastAsia" w:cstheme="minorEastAsia" w:hint="eastAsia"/>
        <w:sz w:val="28"/>
        <w:szCs w:val="28"/>
      </w:rPr>
      <w:fldChar w:fldCharType="end"/>
    </w:r>
  </w:p>
  <w:p w:rsidR="001D1F87" w:rsidRDefault="001D1F8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87" w:rsidRDefault="00013BF2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6.25pt;margin-top:3.3pt;width:35.05pt;height:18.15pt;z-index:251659264;mso-wrap-style:none;mso-position-horizontal-relative:margin" o:gfxdata="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8cQ529gAAAAMAQAADwAAAAAAAAABACAAAAAiAAAAZHJzL2Rvd25y&#10;ZXYueG1sUEsBAhQAFAAAAAgAh07iQHrnkk/FAQAAawMAAA4AAAAAAAAAAQAgAAAAJwEAAGRycy9l&#10;Mm9Eb2MueG1sUEsFBgAAAAAGAAYAWQEAAF4FAAAAAA==&#10;" filled="f" stroked="f">
          <v:textbox style="mso-fit-shape-to-text:t" inset="0,0,0,0">
            <w:txbxContent>
              <w:p w:rsidR="001D1F87" w:rsidRDefault="00013BF2">
                <w:pPr>
                  <w:pStyle w:val="a5"/>
                  <w:rPr>
                    <w:rStyle w:val="a7"/>
                  </w:rPr>
                </w:pP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74EFC"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C6EDF">
                  <w:rPr>
                    <w:rStyle w:val="a7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71" w:rsidRDefault="00832C71" w:rsidP="001D1F87">
      <w:r>
        <w:separator/>
      </w:r>
    </w:p>
  </w:footnote>
  <w:footnote w:type="continuationSeparator" w:id="0">
    <w:p w:rsidR="00832C71" w:rsidRDefault="00832C71" w:rsidP="001D1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55"/>
    <w:rsid w:val="000051BA"/>
    <w:rsid w:val="00007DC9"/>
    <w:rsid w:val="00013BF2"/>
    <w:rsid w:val="00022FF2"/>
    <w:rsid w:val="000246CF"/>
    <w:rsid w:val="00026B55"/>
    <w:rsid w:val="000300E0"/>
    <w:rsid w:val="0004157A"/>
    <w:rsid w:val="00041639"/>
    <w:rsid w:val="00046FD0"/>
    <w:rsid w:val="00060A39"/>
    <w:rsid w:val="00060B3A"/>
    <w:rsid w:val="00070A8B"/>
    <w:rsid w:val="000720A0"/>
    <w:rsid w:val="00072E51"/>
    <w:rsid w:val="000831A5"/>
    <w:rsid w:val="00092662"/>
    <w:rsid w:val="00093500"/>
    <w:rsid w:val="00094871"/>
    <w:rsid w:val="000A67EC"/>
    <w:rsid w:val="000B1F15"/>
    <w:rsid w:val="000B47FF"/>
    <w:rsid w:val="000D7352"/>
    <w:rsid w:val="000E5187"/>
    <w:rsid w:val="000E56CF"/>
    <w:rsid w:val="000E6D88"/>
    <w:rsid w:val="000F150B"/>
    <w:rsid w:val="000F2196"/>
    <w:rsid w:val="000F2D91"/>
    <w:rsid w:val="00106D59"/>
    <w:rsid w:val="001211C7"/>
    <w:rsid w:val="00125415"/>
    <w:rsid w:val="00141FB6"/>
    <w:rsid w:val="00156266"/>
    <w:rsid w:val="00162880"/>
    <w:rsid w:val="0016489F"/>
    <w:rsid w:val="0016665A"/>
    <w:rsid w:val="00170A71"/>
    <w:rsid w:val="00174EFC"/>
    <w:rsid w:val="001A7520"/>
    <w:rsid w:val="001B131A"/>
    <w:rsid w:val="001B153F"/>
    <w:rsid w:val="001B6523"/>
    <w:rsid w:val="001D1F87"/>
    <w:rsid w:val="001D4E14"/>
    <w:rsid w:val="001D5662"/>
    <w:rsid w:val="001E1AB1"/>
    <w:rsid w:val="002064F7"/>
    <w:rsid w:val="00206B2B"/>
    <w:rsid w:val="0021638E"/>
    <w:rsid w:val="0023259F"/>
    <w:rsid w:val="00233F94"/>
    <w:rsid w:val="00235183"/>
    <w:rsid w:val="00241E35"/>
    <w:rsid w:val="002428F9"/>
    <w:rsid w:val="002671B1"/>
    <w:rsid w:val="00271C80"/>
    <w:rsid w:val="00277543"/>
    <w:rsid w:val="00281EEF"/>
    <w:rsid w:val="0028710F"/>
    <w:rsid w:val="002A0E27"/>
    <w:rsid w:val="002A0E47"/>
    <w:rsid w:val="002A1765"/>
    <w:rsid w:val="002A1BB0"/>
    <w:rsid w:val="002A7E25"/>
    <w:rsid w:val="002B5E8C"/>
    <w:rsid w:val="002C11D2"/>
    <w:rsid w:val="002D6C55"/>
    <w:rsid w:val="002E52C2"/>
    <w:rsid w:val="00313AEE"/>
    <w:rsid w:val="0031621E"/>
    <w:rsid w:val="00327650"/>
    <w:rsid w:val="00334544"/>
    <w:rsid w:val="003370AB"/>
    <w:rsid w:val="003407E4"/>
    <w:rsid w:val="00342C41"/>
    <w:rsid w:val="00344576"/>
    <w:rsid w:val="00356973"/>
    <w:rsid w:val="00356AAC"/>
    <w:rsid w:val="00357579"/>
    <w:rsid w:val="00357968"/>
    <w:rsid w:val="00374592"/>
    <w:rsid w:val="00384827"/>
    <w:rsid w:val="003854B1"/>
    <w:rsid w:val="003871CA"/>
    <w:rsid w:val="003902DE"/>
    <w:rsid w:val="00390825"/>
    <w:rsid w:val="00394561"/>
    <w:rsid w:val="00395336"/>
    <w:rsid w:val="003D7E4C"/>
    <w:rsid w:val="003E737D"/>
    <w:rsid w:val="003F534F"/>
    <w:rsid w:val="00422EA0"/>
    <w:rsid w:val="00424C9C"/>
    <w:rsid w:val="00431DB2"/>
    <w:rsid w:val="00432CA7"/>
    <w:rsid w:val="004358E6"/>
    <w:rsid w:val="00440B14"/>
    <w:rsid w:val="00447D9F"/>
    <w:rsid w:val="00454D12"/>
    <w:rsid w:val="00463561"/>
    <w:rsid w:val="004724D5"/>
    <w:rsid w:val="00473BA4"/>
    <w:rsid w:val="004745A3"/>
    <w:rsid w:val="0048272B"/>
    <w:rsid w:val="004A69A0"/>
    <w:rsid w:val="004B0465"/>
    <w:rsid w:val="004B2619"/>
    <w:rsid w:val="004B7D8C"/>
    <w:rsid w:val="004C1EAA"/>
    <w:rsid w:val="004C4DF7"/>
    <w:rsid w:val="004C569C"/>
    <w:rsid w:val="004F5158"/>
    <w:rsid w:val="00506C84"/>
    <w:rsid w:val="005142A1"/>
    <w:rsid w:val="00517CAB"/>
    <w:rsid w:val="0053713F"/>
    <w:rsid w:val="005433C2"/>
    <w:rsid w:val="005502F2"/>
    <w:rsid w:val="00562083"/>
    <w:rsid w:val="0058350A"/>
    <w:rsid w:val="00594376"/>
    <w:rsid w:val="005A56F6"/>
    <w:rsid w:val="005A6C12"/>
    <w:rsid w:val="005C1972"/>
    <w:rsid w:val="005D3469"/>
    <w:rsid w:val="005E2A4A"/>
    <w:rsid w:val="005F1B3D"/>
    <w:rsid w:val="00602816"/>
    <w:rsid w:val="00604ACB"/>
    <w:rsid w:val="00606C5B"/>
    <w:rsid w:val="006171AA"/>
    <w:rsid w:val="006178C3"/>
    <w:rsid w:val="00621BAF"/>
    <w:rsid w:val="0062410E"/>
    <w:rsid w:val="00626CE8"/>
    <w:rsid w:val="00634438"/>
    <w:rsid w:val="00661621"/>
    <w:rsid w:val="006711F4"/>
    <w:rsid w:val="0068140B"/>
    <w:rsid w:val="00685825"/>
    <w:rsid w:val="006B086F"/>
    <w:rsid w:val="006E1FF4"/>
    <w:rsid w:val="006E7630"/>
    <w:rsid w:val="006F0A7E"/>
    <w:rsid w:val="006F6FC3"/>
    <w:rsid w:val="00715180"/>
    <w:rsid w:val="00720A73"/>
    <w:rsid w:val="00720CAF"/>
    <w:rsid w:val="00724377"/>
    <w:rsid w:val="007276B4"/>
    <w:rsid w:val="00733E0F"/>
    <w:rsid w:val="00745D25"/>
    <w:rsid w:val="007506EE"/>
    <w:rsid w:val="0075447F"/>
    <w:rsid w:val="00754A2D"/>
    <w:rsid w:val="007643CE"/>
    <w:rsid w:val="00766157"/>
    <w:rsid w:val="00767F68"/>
    <w:rsid w:val="0077490A"/>
    <w:rsid w:val="007775EF"/>
    <w:rsid w:val="007A51E0"/>
    <w:rsid w:val="007A6544"/>
    <w:rsid w:val="007A7FD3"/>
    <w:rsid w:val="007C01D1"/>
    <w:rsid w:val="007C5705"/>
    <w:rsid w:val="007D13B8"/>
    <w:rsid w:val="007D77CE"/>
    <w:rsid w:val="00802CDC"/>
    <w:rsid w:val="00805E1D"/>
    <w:rsid w:val="00823C1E"/>
    <w:rsid w:val="00826D77"/>
    <w:rsid w:val="00832C71"/>
    <w:rsid w:val="0083338D"/>
    <w:rsid w:val="008701AB"/>
    <w:rsid w:val="0087139A"/>
    <w:rsid w:val="00877798"/>
    <w:rsid w:val="008802DB"/>
    <w:rsid w:val="00890F76"/>
    <w:rsid w:val="0089274E"/>
    <w:rsid w:val="008A08FA"/>
    <w:rsid w:val="008E70E5"/>
    <w:rsid w:val="008F50DB"/>
    <w:rsid w:val="008F5238"/>
    <w:rsid w:val="008F7723"/>
    <w:rsid w:val="00904BC8"/>
    <w:rsid w:val="00913A4E"/>
    <w:rsid w:val="00925F75"/>
    <w:rsid w:val="0097410F"/>
    <w:rsid w:val="00974280"/>
    <w:rsid w:val="00974393"/>
    <w:rsid w:val="0097704C"/>
    <w:rsid w:val="00986E71"/>
    <w:rsid w:val="009942EB"/>
    <w:rsid w:val="009A1862"/>
    <w:rsid w:val="009A78E1"/>
    <w:rsid w:val="009B548C"/>
    <w:rsid w:val="009D18B6"/>
    <w:rsid w:val="009E6F62"/>
    <w:rsid w:val="009E7F86"/>
    <w:rsid w:val="009F1030"/>
    <w:rsid w:val="009F1B6D"/>
    <w:rsid w:val="00A02039"/>
    <w:rsid w:val="00A04BD7"/>
    <w:rsid w:val="00A20EDD"/>
    <w:rsid w:val="00A212C7"/>
    <w:rsid w:val="00A23406"/>
    <w:rsid w:val="00A35D41"/>
    <w:rsid w:val="00A40953"/>
    <w:rsid w:val="00A459E3"/>
    <w:rsid w:val="00A571FE"/>
    <w:rsid w:val="00A616E3"/>
    <w:rsid w:val="00A636AF"/>
    <w:rsid w:val="00A704AB"/>
    <w:rsid w:val="00AA03DB"/>
    <w:rsid w:val="00AA164E"/>
    <w:rsid w:val="00AA3B2D"/>
    <w:rsid w:val="00AA7268"/>
    <w:rsid w:val="00AB0D6D"/>
    <w:rsid w:val="00AB68DD"/>
    <w:rsid w:val="00AC2B0B"/>
    <w:rsid w:val="00AD35D8"/>
    <w:rsid w:val="00AF6D19"/>
    <w:rsid w:val="00B018B8"/>
    <w:rsid w:val="00B1436F"/>
    <w:rsid w:val="00B17FDC"/>
    <w:rsid w:val="00B22148"/>
    <w:rsid w:val="00B25C4D"/>
    <w:rsid w:val="00B364E6"/>
    <w:rsid w:val="00B47F03"/>
    <w:rsid w:val="00B62010"/>
    <w:rsid w:val="00B6417D"/>
    <w:rsid w:val="00B712AC"/>
    <w:rsid w:val="00B82084"/>
    <w:rsid w:val="00B959CA"/>
    <w:rsid w:val="00B95E1A"/>
    <w:rsid w:val="00BB4808"/>
    <w:rsid w:val="00BD62E5"/>
    <w:rsid w:val="00BD715F"/>
    <w:rsid w:val="00BD7A11"/>
    <w:rsid w:val="00BE0134"/>
    <w:rsid w:val="00BE421E"/>
    <w:rsid w:val="00BE428E"/>
    <w:rsid w:val="00BF2167"/>
    <w:rsid w:val="00BF6AB5"/>
    <w:rsid w:val="00C03182"/>
    <w:rsid w:val="00C10C97"/>
    <w:rsid w:val="00C41CE2"/>
    <w:rsid w:val="00C452E4"/>
    <w:rsid w:val="00C53D36"/>
    <w:rsid w:val="00C57E0D"/>
    <w:rsid w:val="00C636EE"/>
    <w:rsid w:val="00C73C73"/>
    <w:rsid w:val="00C75F27"/>
    <w:rsid w:val="00C76A21"/>
    <w:rsid w:val="00C85BE4"/>
    <w:rsid w:val="00C93424"/>
    <w:rsid w:val="00CA3B61"/>
    <w:rsid w:val="00CB05CD"/>
    <w:rsid w:val="00CB268F"/>
    <w:rsid w:val="00CC6EDF"/>
    <w:rsid w:val="00CD046D"/>
    <w:rsid w:val="00CD15F8"/>
    <w:rsid w:val="00CF0128"/>
    <w:rsid w:val="00CF0812"/>
    <w:rsid w:val="00CF41FE"/>
    <w:rsid w:val="00CF4321"/>
    <w:rsid w:val="00CF5E94"/>
    <w:rsid w:val="00CF7BE1"/>
    <w:rsid w:val="00D07F94"/>
    <w:rsid w:val="00D16B69"/>
    <w:rsid w:val="00D21DEB"/>
    <w:rsid w:val="00D3514F"/>
    <w:rsid w:val="00D6266A"/>
    <w:rsid w:val="00D81C35"/>
    <w:rsid w:val="00D91F48"/>
    <w:rsid w:val="00D97443"/>
    <w:rsid w:val="00DB1764"/>
    <w:rsid w:val="00DB2440"/>
    <w:rsid w:val="00DB3C8A"/>
    <w:rsid w:val="00DB5F18"/>
    <w:rsid w:val="00DC5F89"/>
    <w:rsid w:val="00DD0C51"/>
    <w:rsid w:val="00E06E17"/>
    <w:rsid w:val="00E11578"/>
    <w:rsid w:val="00E25C09"/>
    <w:rsid w:val="00E35402"/>
    <w:rsid w:val="00E379EC"/>
    <w:rsid w:val="00E42DA2"/>
    <w:rsid w:val="00E47E0D"/>
    <w:rsid w:val="00E526C3"/>
    <w:rsid w:val="00E56A87"/>
    <w:rsid w:val="00E56E52"/>
    <w:rsid w:val="00E854B0"/>
    <w:rsid w:val="00E9403C"/>
    <w:rsid w:val="00E956E5"/>
    <w:rsid w:val="00E95DF8"/>
    <w:rsid w:val="00E97496"/>
    <w:rsid w:val="00EB642C"/>
    <w:rsid w:val="00EB67B5"/>
    <w:rsid w:val="00EB6A82"/>
    <w:rsid w:val="00EE1F86"/>
    <w:rsid w:val="00EE4190"/>
    <w:rsid w:val="00F01156"/>
    <w:rsid w:val="00F11389"/>
    <w:rsid w:val="00F11CAA"/>
    <w:rsid w:val="00F14865"/>
    <w:rsid w:val="00F3114F"/>
    <w:rsid w:val="00F3147A"/>
    <w:rsid w:val="00F31FF1"/>
    <w:rsid w:val="00F347B6"/>
    <w:rsid w:val="00F37571"/>
    <w:rsid w:val="00F44A15"/>
    <w:rsid w:val="00F4779A"/>
    <w:rsid w:val="00F70562"/>
    <w:rsid w:val="00F744B5"/>
    <w:rsid w:val="00F845F5"/>
    <w:rsid w:val="00F865EA"/>
    <w:rsid w:val="00F90AF4"/>
    <w:rsid w:val="00FA21BD"/>
    <w:rsid w:val="00FA6D04"/>
    <w:rsid w:val="00FB46C7"/>
    <w:rsid w:val="00FC2B5F"/>
    <w:rsid w:val="00FD0009"/>
    <w:rsid w:val="00FD51B5"/>
    <w:rsid w:val="00FF690A"/>
    <w:rsid w:val="22FF7C6A"/>
    <w:rsid w:val="23C00BB2"/>
    <w:rsid w:val="52251F63"/>
    <w:rsid w:val="7A1B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F8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1D1F87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rsid w:val="001D1F87"/>
    <w:rPr>
      <w:sz w:val="18"/>
      <w:szCs w:val="18"/>
    </w:rPr>
  </w:style>
  <w:style w:type="paragraph" w:styleId="a5">
    <w:name w:val="footer"/>
    <w:basedOn w:val="a"/>
    <w:rsid w:val="001D1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1D1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1D1F87"/>
  </w:style>
  <w:style w:type="paragraph" w:customStyle="1" w:styleId="a8">
    <w:name w:val="标题名"/>
    <w:basedOn w:val="a3"/>
    <w:rsid w:val="001D1F87"/>
    <w:pPr>
      <w:jc w:val="center"/>
    </w:pPr>
    <w:rPr>
      <w:rFonts w:hAnsi="宋体"/>
      <w:sz w:val="44"/>
    </w:rPr>
  </w:style>
  <w:style w:type="paragraph" w:customStyle="1" w:styleId="a9">
    <w:name w:val="题注信息"/>
    <w:basedOn w:val="a3"/>
    <w:rsid w:val="001D1F87"/>
    <w:pPr>
      <w:ind w:leftChars="400" w:left="400" w:rightChars="300" w:right="630"/>
    </w:pPr>
    <w:rPr>
      <w:rFonts w:eastAsia="楷体_GB2312" w:hAnsi="宋体"/>
      <w:sz w:val="32"/>
    </w:rPr>
  </w:style>
  <w:style w:type="paragraph" w:customStyle="1" w:styleId="aa">
    <w:name w:val="文号"/>
    <w:basedOn w:val="a3"/>
    <w:qFormat/>
    <w:rsid w:val="001D1F87"/>
    <w:pPr>
      <w:jc w:val="center"/>
    </w:pPr>
    <w:rPr>
      <w:rFonts w:eastAsia="楷体_GB2312" w:hAnsi="宋体"/>
      <w:sz w:val="32"/>
    </w:rPr>
  </w:style>
  <w:style w:type="paragraph" w:customStyle="1" w:styleId="ParaCharCharCharCharCharCharChar">
    <w:name w:val="默认段落字体 Para Char Char Char Char Char Char Char"/>
    <w:basedOn w:val="a"/>
    <w:rsid w:val="001D1F87"/>
  </w:style>
  <w:style w:type="character" w:customStyle="1" w:styleId="Char1">
    <w:name w:val="页眉 Char"/>
    <w:basedOn w:val="a0"/>
    <w:link w:val="a6"/>
    <w:rsid w:val="001D1F87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1D1F87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rsid w:val="001D1F87"/>
    <w:rPr>
      <w:rFonts w:ascii="宋体" w:hAnsi="Courier New" w:cs="Courier New"/>
      <w:kern w:val="2"/>
      <w:sz w:val="21"/>
      <w:szCs w:val="21"/>
    </w:rPr>
  </w:style>
  <w:style w:type="paragraph" w:customStyle="1" w:styleId="ab">
    <w:name w:val="正文字体"/>
    <w:basedOn w:val="a"/>
    <w:qFormat/>
    <w:rsid w:val="001D1F87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844E9-1BC2-4B78-A048-29FDCE8E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1438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dc:creator>Lenovo User</dc:creator>
  <cp:lastModifiedBy>Zhanglb</cp:lastModifiedBy>
  <cp:revision>9</cp:revision>
  <cp:lastPrinted>2014-04-03T09:04:00Z</cp:lastPrinted>
  <dcterms:created xsi:type="dcterms:W3CDTF">2019-04-19T02:33:00Z</dcterms:created>
  <dcterms:modified xsi:type="dcterms:W3CDTF">2024-04-09T05:50:00Z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